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CC" w:rsidRPr="0025008C" w:rsidRDefault="00D939CC"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244"/>
        <w:gridCol w:w="1456"/>
        <w:gridCol w:w="1153"/>
        <w:gridCol w:w="166"/>
        <w:gridCol w:w="1536"/>
        <w:gridCol w:w="248"/>
        <w:gridCol w:w="1628"/>
      </w:tblGrid>
      <w:tr w:rsidR="00D939CC" w:rsidRPr="004979AC">
        <w:trPr>
          <w:trHeight w:val="324"/>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bookmarkStart w:id="0" w:name="_Hlk150537974"/>
            <w:r w:rsidRPr="004979AC">
              <w:rPr>
                <w:rFonts w:ascii="Times New Roman" w:hAnsi="Times New Roman" w:cs="Simplified Arabic"/>
                <w:b/>
                <w:bCs/>
                <w:color w:val="000000"/>
                <w:sz w:val="24"/>
                <w:szCs w:val="24"/>
                <w:lang w:bidi="ar-JO"/>
              </w:rPr>
              <w:t>Faculty</w:t>
            </w:r>
          </w:p>
        </w:tc>
        <w:tc>
          <w:tcPr>
            <w:tcW w:w="8555" w:type="dxa"/>
            <w:gridSpan w:val="7"/>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Pharmacy</w:t>
            </w: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Department </w:t>
            </w:r>
          </w:p>
        </w:tc>
        <w:tc>
          <w:tcPr>
            <w:tcW w:w="4912" w:type="dxa"/>
            <w:gridSpan w:val="3"/>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Level</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Course </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Drug Information and Evidence Based Medicine</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Code</w:t>
            </w:r>
          </w:p>
        </w:tc>
        <w:tc>
          <w:tcPr>
            <w:tcW w:w="1160" w:type="dxa"/>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170250</w:t>
            </w:r>
            <w:r w:rsidRPr="004979AC">
              <w:rPr>
                <w:rFonts w:ascii="Times New Roman" w:hAnsi="Times New Roman" w:cs="Simplified Arabic"/>
                <w:b/>
                <w:bCs/>
                <w:color w:val="000000"/>
                <w:sz w:val="24"/>
                <w:szCs w:val="24"/>
                <w:lang w:bidi="ar-JO"/>
              </w:rPr>
              <w:t>3</w:t>
            </w: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Prerequisite</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1702408</w:t>
            </w:r>
          </w:p>
        </w:tc>
      </w:tr>
      <w:tr w:rsidR="00D939CC" w:rsidRPr="004979AC">
        <w:trPr>
          <w:trHeight w:val="233"/>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Credit hours</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Theoretical </w:t>
            </w:r>
          </w:p>
        </w:tc>
        <w:tc>
          <w:tcPr>
            <w:tcW w:w="1160"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Practical</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Coordinator</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sidRPr="004979AC">
              <w:rPr>
                <w:rFonts w:ascii="Times New Roman" w:hAnsi="Times New Roman" w:cs="Times New Roman"/>
                <w:color w:val="000000"/>
                <w:sz w:val="24"/>
                <w:szCs w:val="24"/>
                <w:lang w:bidi="ar-JO"/>
              </w:rPr>
              <w:t>Einas Al Manasrah</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Email</w:t>
            </w:r>
          </w:p>
        </w:tc>
        <w:tc>
          <w:tcPr>
            <w:tcW w:w="4803" w:type="dxa"/>
            <w:gridSpan w:val="5"/>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44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Teachers</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sidRPr="004979AC">
              <w:rPr>
                <w:rFonts w:ascii="Times New Roman" w:hAnsi="Times New Roman" w:cs="Times New Roman"/>
                <w:color w:val="000000"/>
                <w:sz w:val="24"/>
                <w:szCs w:val="24"/>
                <w:lang w:bidi="ar-JO"/>
              </w:rPr>
              <w:t>Abeer Kharshid</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Emails</w:t>
            </w:r>
          </w:p>
        </w:tc>
        <w:tc>
          <w:tcPr>
            <w:tcW w:w="4803" w:type="dxa"/>
            <w:gridSpan w:val="5"/>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Lecture Time</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Place</w:t>
            </w:r>
          </w:p>
        </w:tc>
        <w:tc>
          <w:tcPr>
            <w:tcW w:w="1337"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Attendance mode</w:t>
            </w:r>
          </w:p>
        </w:tc>
        <w:tc>
          <w:tcPr>
            <w:tcW w:w="1930"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50"/>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Semester </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r w:rsidRPr="004979AC">
              <w:rPr>
                <w:rFonts w:ascii="Times New Roman" w:hAnsi="Times New Roman" w:cs="Simplified Arabic"/>
                <w:b/>
                <w:bCs/>
                <w:color w:val="000000"/>
                <w:sz w:val="24"/>
                <w:szCs w:val="24"/>
                <w:lang w:bidi="ar-JO"/>
              </w:rPr>
              <w:t>Modification Date</w:t>
            </w:r>
          </w:p>
        </w:tc>
        <w:tc>
          <w:tcPr>
            <w:tcW w:w="1930"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bookmarkEnd w:id="0"/>
    </w:tbl>
    <w:p w:rsidR="00D939CC" w:rsidRPr="0025008C" w:rsidRDefault="00D939C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D939CC" w:rsidRPr="004979AC">
        <w:trPr>
          <w:trHeight w:val="397"/>
        </w:trPr>
        <w:tc>
          <w:tcPr>
            <w:tcW w:w="10369" w:type="dxa"/>
            <w:shd w:val="pct12" w:color="auto" w:fill="auto"/>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 xml:space="preserve"> Abstracted Course Description </w:t>
            </w:r>
          </w:p>
        </w:tc>
      </w:tr>
      <w:tr w:rsidR="00D939CC" w:rsidRPr="004979AC">
        <w:trPr>
          <w:trHeight w:val="397"/>
        </w:trPr>
        <w:tc>
          <w:tcPr>
            <w:tcW w:w="10369" w:type="dxa"/>
            <w:vAlign w:val="center"/>
          </w:tcPr>
          <w:p w:rsidR="00D939CC" w:rsidRPr="004979AC" w:rsidRDefault="00D939CC" w:rsidP="004979AC">
            <w:pPr>
              <w:spacing w:before="120" w:after="0" w:line="240" w:lineRule="auto"/>
              <w:jc w:val="both"/>
              <w:rPr>
                <w:rFonts w:ascii="Times New Roman" w:hAnsi="Times New Roman" w:cs="Simplified Arabic"/>
                <w:color w:val="000000"/>
                <w:lang w:bidi="ar-JO"/>
              </w:rPr>
            </w:pPr>
            <w:r w:rsidRPr="004979AC">
              <w:rPr>
                <w:rFonts w:ascii="Times New Roman" w:hAnsi="Times New Roman" w:cs="Simplified Arabic"/>
                <w:color w:val="000000"/>
                <w:lang w:bidi="ar-JO"/>
              </w:rPr>
              <w:t>The purpose of this course is to provide a current comprehensive overview of relevant information and concepts for students and pharmacists involved in providing drug information and evaluating scientific literature in the patient care setting. The Evidence-Based Practice (EBP) course has been designed to facilitate acquisition and application of evidence based practice knowledge and skills. Evidence based practice involves the use of the best available evidence, clinical expertise, and patients' values to make complex pharmacy-related decisions.</w:t>
            </w:r>
          </w:p>
        </w:tc>
      </w:tr>
      <w:tr w:rsidR="00D939CC" w:rsidRPr="004979AC">
        <w:trPr>
          <w:trHeight w:val="397"/>
        </w:trPr>
        <w:tc>
          <w:tcPr>
            <w:tcW w:w="10369" w:type="dxa"/>
            <w:shd w:val="pct12" w:color="auto" w:fill="auto"/>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Course Goals</w:t>
            </w:r>
          </w:p>
        </w:tc>
      </w:tr>
      <w:tr w:rsidR="00D939CC" w:rsidRPr="004979AC">
        <w:trPr>
          <w:trHeight w:val="397"/>
        </w:trPr>
        <w:tc>
          <w:tcPr>
            <w:tcW w:w="10369" w:type="dxa"/>
            <w:vAlign w:val="center"/>
          </w:tcPr>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develop a comprehensive understanding of drug information resources.</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enhance skills in critically evaluating scientific literature.</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apply evidence-based practice principles in pharmacy decision-making.</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foster the ability to communicate drug information effectively.</w:t>
            </w:r>
          </w:p>
        </w:tc>
      </w:tr>
    </w:tbl>
    <w:p w:rsidR="00D939CC" w:rsidRPr="0025008C" w:rsidRDefault="00D939C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822"/>
        <w:gridCol w:w="2116"/>
        <w:gridCol w:w="1526"/>
        <w:gridCol w:w="2010"/>
        <w:gridCol w:w="905"/>
      </w:tblGrid>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ind w:left="313" w:hanging="284"/>
              <w:jc w:val="center"/>
              <w:rPr>
                <w:rFonts w:ascii="Times New Roman" w:hAnsi="Times New Roman" w:cs="Times New Roman"/>
                <w:color w:val="000000"/>
                <w:lang w:bidi="ar-JO"/>
              </w:rPr>
            </w:pPr>
            <w:r w:rsidRPr="004979AC">
              <w:rPr>
                <w:rFonts w:ascii="Times New Roman" w:hAnsi="Times New Roman" w:cs="Simplified Arabic"/>
                <w:b/>
                <w:bCs/>
                <w:color w:val="000000"/>
                <w:lang w:bidi="ar-JO"/>
              </w:rPr>
              <w:t>CILOs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color w:val="000000"/>
                <w:lang w:bidi="ar-JO"/>
              </w:rPr>
            </w:pPr>
            <w:r w:rsidRPr="004979AC">
              <w:rPr>
                <w:rFonts w:ascii="Times New Roman" w:hAnsi="Times New Roman" w:cs="Simplified Arabic"/>
                <w:b/>
                <w:bCs/>
                <w:color w:val="000000"/>
                <w:lang w:bidi="ar-JO"/>
              </w:rPr>
              <w:t>Knowledge</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a1. Identify and utilize relevant drug information resources.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a2. Evaluate scientific literature critically.</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a3. Understand the principles and importance of Evidence-Based Practice (EBP).</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a4. Recognize the role of clinical expertise in pharmacy decision-making.</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lang w:bidi="ar-JO"/>
              </w:rPr>
            </w:pPr>
            <w:r w:rsidRPr="004979AC">
              <w:rPr>
                <w:rFonts w:ascii="Times New Roman" w:hAnsi="Times New Roman" w:cs="Simplified Arabic"/>
                <w:b/>
                <w:bCs/>
                <w:color w:val="000000"/>
                <w:lang w:bidi="ar-JO"/>
              </w:rPr>
              <w:t>Skills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b1. Effectively navigate and use drug information databases.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b2. Critically appraise research articles and literature.</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b3. Apply evidence-based practice principles to pharmacy-related decisions.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b4. Communicate drug information clearly and concisely.</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Competencies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c1. Demonstrate proficiency in utilizing drug information resources.</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c2. Demonstrate proficiency in critically evaluating scientific literature.</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c3. Apply Evidence-Based Practice (EBP) principles in pharmacy decision-making.</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c4. Communicate drug information effectively to different stakeholders.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Learning Methods</w:t>
            </w:r>
          </w:p>
        </w:tc>
      </w:tr>
      <w:tr w:rsidR="00D939CC" w:rsidRPr="004979AC">
        <w:trPr>
          <w:trHeight w:val="397"/>
        </w:trPr>
        <w:tc>
          <w:tcPr>
            <w:tcW w:w="10206" w:type="dxa"/>
            <w:gridSpan w:val="6"/>
            <w:vAlign w:val="center"/>
          </w:tcPr>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Interactive sessions on navigating drug information databases.</w:t>
            </w:r>
          </w:p>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Workshops on critical appraisal of scientific literature.</w:t>
            </w:r>
          </w:p>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Case studies applying evidence-based practice in pharmacy scenarios.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color w:val="000000"/>
                <w:lang w:bidi="ar-JO"/>
              </w:rPr>
            </w:pPr>
            <w:r w:rsidRPr="004979AC">
              <w:rPr>
                <w:rFonts w:ascii="Times New Roman" w:hAnsi="Times New Roman" w:cs="Simplified Arabic"/>
                <w:b/>
                <w:bCs/>
                <w:color w:val="000000"/>
                <w:lang w:bidi="ar-JO"/>
              </w:rPr>
              <w:t>Evaluation Tools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jc w:val="center"/>
              <w:rPr>
                <w:rFonts w:ascii="Times New Roman" w:hAnsi="Times New Roman" w:cs="Times New Roman"/>
                <w:b/>
                <w:bCs/>
                <w:color w:val="000000"/>
                <w:sz w:val="24"/>
                <w:szCs w:val="24"/>
                <w:lang w:bidi="ar-JO"/>
              </w:rPr>
            </w:pPr>
            <w:r w:rsidRPr="004979AC">
              <w:rPr>
                <w:rFonts w:ascii="Times New Roman" w:hAnsi="Times New Roman" w:cs="Simplified Arabic"/>
                <w:color w:val="000000"/>
                <w:lang w:bidi="ar-JO"/>
              </w:rPr>
              <w:t>Quizzes, Midterm exam, Final Exam</w:t>
            </w:r>
          </w:p>
        </w:tc>
      </w:tr>
      <w:tr w:rsidR="00D939CC" w:rsidRPr="004979AC" w:rsidTr="00540960">
        <w:trPr>
          <w:trHeight w:val="397"/>
        </w:trPr>
        <w:tc>
          <w:tcPr>
            <w:tcW w:w="827"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bookmarkStart w:id="1" w:name="_Hlk150538984"/>
            <w:r w:rsidRPr="004979AC">
              <w:rPr>
                <w:rFonts w:ascii="Times New Roman" w:hAnsi="Times New Roman" w:cs="Times New Roman"/>
                <w:b/>
                <w:bCs/>
                <w:sz w:val="24"/>
                <w:szCs w:val="24"/>
                <w:lang w:bidi="ar-JO"/>
              </w:rPr>
              <w:t>Week</w:t>
            </w:r>
          </w:p>
        </w:tc>
        <w:tc>
          <w:tcPr>
            <w:tcW w:w="2822"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Topics</w:t>
            </w:r>
          </w:p>
        </w:tc>
        <w:tc>
          <w:tcPr>
            <w:tcW w:w="2116"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lang w:bidi="ar-JO"/>
              </w:rPr>
            </w:pPr>
            <w:r w:rsidRPr="004979AC">
              <w:rPr>
                <w:rFonts w:ascii="Times New Roman" w:hAnsi="Times New Roman" w:cs="Times New Roman"/>
                <w:b/>
                <w:bCs/>
                <w:lang w:bidi="ar-JO"/>
              </w:rPr>
              <w:t>Learning methods</w:t>
            </w:r>
          </w:p>
        </w:tc>
        <w:tc>
          <w:tcPr>
            <w:tcW w:w="1526"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lang w:bidi="ar-JO"/>
              </w:rPr>
            </w:pPr>
            <w:r w:rsidRPr="004979AC">
              <w:rPr>
                <w:rFonts w:ascii="Times New Roman" w:hAnsi="Times New Roman" w:cs="Times New Roman"/>
                <w:b/>
                <w:bCs/>
                <w:lang w:bidi="ar-JO"/>
              </w:rPr>
              <w:t>Evaluation tool</w:t>
            </w:r>
          </w:p>
        </w:tc>
        <w:tc>
          <w:tcPr>
            <w:tcW w:w="2010"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ILOs</w:t>
            </w:r>
          </w:p>
        </w:tc>
        <w:tc>
          <w:tcPr>
            <w:tcW w:w="905"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Hours</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Introduction and course overview</w:t>
            </w:r>
          </w:p>
        </w:tc>
        <w:tc>
          <w:tcPr>
            <w:tcW w:w="2116" w:type="dxa"/>
          </w:tcPr>
          <w:p w:rsidR="00D939CC" w:rsidRPr="005C5E61" w:rsidRDefault="00D939CC"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2.</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Principles of Clinical Research and an overview about EBM</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3.</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Research Design and Methods</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4.</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Research Design and Methods</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5.</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Ethical Considerations in Clinical Research</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6.</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Workshop and/ or quiz</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7.</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Introduction to Drug Literature</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8.</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Midterm Exam</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9.</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Evaluating Clinical Literature: An Overview</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10.</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Randomized Controlled Trials</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11.</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Randomized Controlled Trials</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12.</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Statistical Principles and Data Analysis</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13.</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Evaluation of Systematic Review and Meta-Analysis</w:t>
            </w:r>
          </w:p>
        </w:tc>
        <w:tc>
          <w:tcPr>
            <w:tcW w:w="2116" w:type="dxa"/>
          </w:tcPr>
          <w:p w:rsidR="00D939CC" w:rsidRPr="00EA5620" w:rsidRDefault="00D939CC" w:rsidP="005C11F4">
            <w:pPr>
              <w:spacing w:after="0" w:line="240" w:lineRule="auto"/>
              <w:ind w:right="590"/>
              <w:rPr>
                <w:sz w:val="24"/>
                <w:szCs w:val="24"/>
              </w:rPr>
            </w:pPr>
            <w:r>
              <w:rPr>
                <w:sz w:val="24"/>
                <w:szCs w:val="24"/>
              </w:rPr>
              <w:t>Presentation</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14.</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How to write a research proposal</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15.</w:t>
            </w:r>
          </w:p>
        </w:tc>
        <w:tc>
          <w:tcPr>
            <w:tcW w:w="8474" w:type="dxa"/>
            <w:gridSpan w:val="4"/>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sz w:val="24"/>
                <w:szCs w:val="24"/>
                <w:lang w:bidi="ar-JO"/>
              </w:rPr>
              <w:t>Final Exam</w:t>
            </w:r>
          </w:p>
        </w:tc>
        <w:tc>
          <w:tcPr>
            <w:tcW w:w="905" w:type="dxa"/>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16.</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p>
        </w:tc>
        <w:tc>
          <w:tcPr>
            <w:tcW w:w="2116" w:type="dxa"/>
          </w:tcPr>
          <w:p w:rsidR="00D939CC" w:rsidRPr="004979AC" w:rsidRDefault="00D939CC" w:rsidP="004979AC">
            <w:pPr>
              <w:spacing w:after="0" w:line="240" w:lineRule="auto"/>
              <w:ind w:left="-18"/>
              <w:rPr>
                <w:rFonts w:ascii="Times New Roman" w:hAnsi="Times New Roman" w:cs="Times New Roman"/>
                <w:sz w:val="24"/>
                <w:szCs w:val="24"/>
                <w:lang w:bidi="ar-JO"/>
              </w:rPr>
            </w:pPr>
          </w:p>
        </w:tc>
        <w:tc>
          <w:tcPr>
            <w:tcW w:w="1526"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p>
        </w:tc>
        <w:tc>
          <w:tcPr>
            <w:tcW w:w="2010" w:type="dxa"/>
            <w:vAlign w:val="center"/>
          </w:tcPr>
          <w:p w:rsidR="00D939CC" w:rsidRDefault="00D939CC" w:rsidP="004979AC">
            <w:pPr>
              <w:spacing w:after="0" w:line="240" w:lineRule="auto"/>
              <w:jc w:val="center"/>
              <w:rPr>
                <w:rFonts w:ascii="Times New Roman" w:hAnsi="Times New Roman" w:cs="Times New Roman"/>
                <w:b/>
                <w:bCs/>
                <w:sz w:val="24"/>
                <w:szCs w:val="24"/>
                <w:lang w:bidi="ar-JO"/>
              </w:rPr>
            </w:pPr>
          </w:p>
          <w:p w:rsidR="00D939CC" w:rsidRDefault="00D939CC" w:rsidP="004979AC">
            <w:pPr>
              <w:spacing w:after="0" w:line="240" w:lineRule="auto"/>
              <w:jc w:val="center"/>
              <w:rPr>
                <w:rFonts w:ascii="Times New Roman" w:hAnsi="Times New Roman" w:cs="Times New Roman"/>
                <w:b/>
                <w:bCs/>
                <w:sz w:val="24"/>
                <w:szCs w:val="24"/>
                <w:lang w:bidi="ar-JO"/>
              </w:rPr>
            </w:pPr>
          </w:p>
          <w:p w:rsidR="00D939CC" w:rsidRDefault="00D939CC" w:rsidP="004979AC">
            <w:pPr>
              <w:spacing w:after="0" w:line="240" w:lineRule="auto"/>
              <w:jc w:val="center"/>
              <w:rPr>
                <w:rFonts w:ascii="Times New Roman" w:hAnsi="Times New Roman" w:cs="Times New Roman"/>
                <w:b/>
                <w:bCs/>
                <w:sz w:val="24"/>
                <w:szCs w:val="24"/>
                <w:lang w:bidi="ar-JO"/>
              </w:rPr>
            </w:pPr>
          </w:p>
          <w:p w:rsidR="00D939CC" w:rsidRPr="004979AC" w:rsidRDefault="00D939CC" w:rsidP="004979AC">
            <w:pPr>
              <w:spacing w:after="0" w:line="240" w:lineRule="auto"/>
              <w:jc w:val="center"/>
              <w:rPr>
                <w:rFonts w:ascii="Times New Roman" w:hAnsi="Times New Roman" w:cs="Times New Roman"/>
                <w:b/>
                <w:bCs/>
                <w:sz w:val="24"/>
                <w:szCs w:val="24"/>
                <w:lang w:bidi="ar-JO"/>
              </w:rPr>
            </w:pPr>
          </w:p>
        </w:tc>
        <w:tc>
          <w:tcPr>
            <w:tcW w:w="905" w:type="dxa"/>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p>
        </w:tc>
      </w:tr>
      <w:bookmarkEnd w:id="1"/>
    </w:tbl>
    <w:p w:rsidR="00D939CC" w:rsidRPr="0025008C" w:rsidRDefault="00D939CC">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D939CC" w:rsidRPr="004979AC">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D939CC" w:rsidRPr="004979AC">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D939CC" w:rsidRPr="004979AC" w:rsidTr="00540960">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D939CC" w:rsidRPr="004979AC" w:rsidTr="00540960">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r>
            <w:tr w:rsidR="00D939CC" w:rsidRPr="004979AC" w:rsidTr="00540960">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D939CC" w:rsidRPr="00FD7840" w:rsidRDefault="00D939CC" w:rsidP="0054096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FD7840" w:rsidRDefault="00D939CC" w:rsidP="0054096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D939CC" w:rsidRPr="0025008C" w:rsidRDefault="00D939CC" w:rsidP="00540960">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C2,C3A1</w:t>
                  </w:r>
                </w:p>
              </w:tc>
              <w:tc>
                <w:tcPr>
                  <w:tcW w:w="461"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bl>
          <w:p w:rsidR="00D939CC" w:rsidRPr="004979AC" w:rsidRDefault="00D939CC" w:rsidP="004979AC">
            <w:pPr>
              <w:bidi/>
              <w:spacing w:before="120" w:after="0" w:line="240" w:lineRule="auto"/>
              <w:jc w:val="center"/>
              <w:rPr>
                <w:rFonts w:ascii="Simplified Arabic" w:hAnsi="Simplified Arabic" w:cs="Simplified Arabic"/>
                <w:b/>
                <w:bCs/>
                <w:color w:val="000000"/>
                <w:sz w:val="24"/>
                <w:szCs w:val="24"/>
                <w:lang w:bidi="ar-JO"/>
              </w:rPr>
            </w:pPr>
            <w:r w:rsidRPr="004979AC">
              <w:rPr>
                <w:rFonts w:ascii="Simplified Arabic" w:hAnsi="Simplified Arabic" w:cs="Simplified Arabic"/>
                <w:b/>
                <w:bCs/>
                <w:color w:val="000000"/>
                <w:sz w:val="28"/>
                <w:szCs w:val="28"/>
                <w:lang w:bidi="ar-JO"/>
              </w:rPr>
              <w:t xml:space="preserve"> Components </w:t>
            </w: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Book</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References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Recommended Readings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Electronic materials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Other websites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bl>
    <w:p w:rsidR="00D939CC" w:rsidRPr="0025008C" w:rsidRDefault="00D939CC">
      <w:pPr>
        <w:rPr>
          <w:rtl/>
          <w:lang w:bidi="ar-JO"/>
        </w:rPr>
      </w:pPr>
    </w:p>
    <w:sectPr w:rsidR="00D939CC"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CC" w:rsidRDefault="00D939CC" w:rsidP="006B6E12">
      <w:pPr>
        <w:spacing w:after="0" w:line="240" w:lineRule="auto"/>
      </w:pPr>
      <w:r>
        <w:separator/>
      </w:r>
    </w:p>
  </w:endnote>
  <w:endnote w:type="continuationSeparator" w:id="0">
    <w:p w:rsidR="00D939CC" w:rsidRDefault="00D939CC"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CC" w:rsidRDefault="00D939CC" w:rsidP="006B6E12">
      <w:pPr>
        <w:spacing w:after="0" w:line="240" w:lineRule="auto"/>
      </w:pPr>
      <w:r>
        <w:separator/>
      </w:r>
    </w:p>
  </w:footnote>
  <w:footnote w:type="continuationSeparator" w:id="0">
    <w:p w:rsidR="00D939CC" w:rsidRDefault="00D939CC"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CC" w:rsidRDefault="00D939CC"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D939CC" w:rsidRPr="009D19F9" w:rsidRDefault="00D939CC" w:rsidP="006B6E12">
                <w:pPr>
                  <w:jc w:val="center"/>
                  <w:rPr>
                    <w:rFonts w:ascii="Times New Roman" w:hAnsi="Times New Roman" w:cs="Times New Roman"/>
                  </w:rPr>
                </w:pPr>
                <w:r w:rsidRPr="009D19F9">
                  <w:rPr>
                    <w:rFonts w:ascii="Times New Roman" w:hAnsi="Times New Roman" w:cs="Times New Roman"/>
                  </w:rPr>
                  <w:t>Mutah University</w:t>
                </w:r>
              </w:p>
              <w:p w:rsidR="00D939CC" w:rsidRPr="009D19F9" w:rsidRDefault="00D939CC"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D939CC" w:rsidRDefault="00D93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23316F"/>
    <w:rsid w:val="0025008C"/>
    <w:rsid w:val="00263393"/>
    <w:rsid w:val="0026349C"/>
    <w:rsid w:val="002801FF"/>
    <w:rsid w:val="002B6213"/>
    <w:rsid w:val="002B678A"/>
    <w:rsid w:val="00307882"/>
    <w:rsid w:val="003206A4"/>
    <w:rsid w:val="00321812"/>
    <w:rsid w:val="00337009"/>
    <w:rsid w:val="00374314"/>
    <w:rsid w:val="003B7B4F"/>
    <w:rsid w:val="003C4196"/>
    <w:rsid w:val="003D2BA2"/>
    <w:rsid w:val="00422BFF"/>
    <w:rsid w:val="00462205"/>
    <w:rsid w:val="004979AC"/>
    <w:rsid w:val="004F15BC"/>
    <w:rsid w:val="00540960"/>
    <w:rsid w:val="00573AB1"/>
    <w:rsid w:val="005C11F4"/>
    <w:rsid w:val="005C5E61"/>
    <w:rsid w:val="00601BCD"/>
    <w:rsid w:val="00676424"/>
    <w:rsid w:val="006B5FDD"/>
    <w:rsid w:val="006B6E12"/>
    <w:rsid w:val="006D6639"/>
    <w:rsid w:val="006E3B09"/>
    <w:rsid w:val="006F1823"/>
    <w:rsid w:val="00744783"/>
    <w:rsid w:val="00747576"/>
    <w:rsid w:val="007D5D0F"/>
    <w:rsid w:val="008168DB"/>
    <w:rsid w:val="0089088C"/>
    <w:rsid w:val="00896456"/>
    <w:rsid w:val="008C0140"/>
    <w:rsid w:val="008D1E50"/>
    <w:rsid w:val="009D19F9"/>
    <w:rsid w:val="00A5623D"/>
    <w:rsid w:val="00AC6FA8"/>
    <w:rsid w:val="00C118D7"/>
    <w:rsid w:val="00C26319"/>
    <w:rsid w:val="00CC3A5F"/>
    <w:rsid w:val="00D252AE"/>
    <w:rsid w:val="00D31146"/>
    <w:rsid w:val="00D549D0"/>
    <w:rsid w:val="00D576FF"/>
    <w:rsid w:val="00D623DF"/>
    <w:rsid w:val="00D862D9"/>
    <w:rsid w:val="00D939CC"/>
    <w:rsid w:val="00DD28A7"/>
    <w:rsid w:val="00DF3E4B"/>
    <w:rsid w:val="00E21F50"/>
    <w:rsid w:val="00E64D12"/>
    <w:rsid w:val="00E70C46"/>
    <w:rsid w:val="00EA5620"/>
    <w:rsid w:val="00EB19CC"/>
    <w:rsid w:val="00F00B71"/>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0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232008968">
      <w:marLeft w:val="0"/>
      <w:marRight w:val="0"/>
      <w:marTop w:val="0"/>
      <w:marBottom w:val="0"/>
      <w:divBdr>
        <w:top w:val="none" w:sz="0" w:space="0" w:color="auto"/>
        <w:left w:val="none" w:sz="0" w:space="0" w:color="auto"/>
        <w:bottom w:val="none" w:sz="0" w:space="0" w:color="auto"/>
        <w:right w:val="none" w:sz="0" w:space="0" w:color="auto"/>
      </w:divBdr>
    </w:div>
    <w:div w:id="232008969">
      <w:marLeft w:val="0"/>
      <w:marRight w:val="0"/>
      <w:marTop w:val="0"/>
      <w:marBottom w:val="0"/>
      <w:divBdr>
        <w:top w:val="none" w:sz="0" w:space="0" w:color="auto"/>
        <w:left w:val="none" w:sz="0" w:space="0" w:color="auto"/>
        <w:bottom w:val="none" w:sz="0" w:space="0" w:color="auto"/>
        <w:right w:val="none" w:sz="0" w:space="0" w:color="auto"/>
      </w:divBdr>
    </w:div>
    <w:div w:id="232008970">
      <w:marLeft w:val="0"/>
      <w:marRight w:val="0"/>
      <w:marTop w:val="0"/>
      <w:marBottom w:val="0"/>
      <w:divBdr>
        <w:top w:val="none" w:sz="0" w:space="0" w:color="auto"/>
        <w:left w:val="none" w:sz="0" w:space="0" w:color="auto"/>
        <w:bottom w:val="none" w:sz="0" w:space="0" w:color="auto"/>
        <w:right w:val="none" w:sz="0" w:space="0" w:color="auto"/>
      </w:divBdr>
    </w:div>
    <w:div w:id="232008971">
      <w:marLeft w:val="0"/>
      <w:marRight w:val="0"/>
      <w:marTop w:val="0"/>
      <w:marBottom w:val="0"/>
      <w:divBdr>
        <w:top w:val="none" w:sz="0" w:space="0" w:color="auto"/>
        <w:left w:val="none" w:sz="0" w:space="0" w:color="auto"/>
        <w:bottom w:val="none" w:sz="0" w:space="0" w:color="auto"/>
        <w:right w:val="none" w:sz="0" w:space="0" w:color="auto"/>
      </w:divBdr>
    </w:div>
    <w:div w:id="232008972">
      <w:marLeft w:val="0"/>
      <w:marRight w:val="0"/>
      <w:marTop w:val="0"/>
      <w:marBottom w:val="0"/>
      <w:divBdr>
        <w:top w:val="none" w:sz="0" w:space="0" w:color="auto"/>
        <w:left w:val="none" w:sz="0" w:space="0" w:color="auto"/>
        <w:bottom w:val="none" w:sz="0" w:space="0" w:color="auto"/>
        <w:right w:val="none" w:sz="0" w:space="0" w:color="auto"/>
      </w:divBdr>
    </w:div>
    <w:div w:id="232008973">
      <w:marLeft w:val="0"/>
      <w:marRight w:val="0"/>
      <w:marTop w:val="0"/>
      <w:marBottom w:val="0"/>
      <w:divBdr>
        <w:top w:val="none" w:sz="0" w:space="0" w:color="auto"/>
        <w:left w:val="none" w:sz="0" w:space="0" w:color="auto"/>
        <w:bottom w:val="none" w:sz="0" w:space="0" w:color="auto"/>
        <w:right w:val="none" w:sz="0" w:space="0" w:color="auto"/>
      </w:divBdr>
    </w:div>
    <w:div w:id="232008974">
      <w:marLeft w:val="0"/>
      <w:marRight w:val="0"/>
      <w:marTop w:val="0"/>
      <w:marBottom w:val="0"/>
      <w:divBdr>
        <w:top w:val="none" w:sz="0" w:space="0" w:color="auto"/>
        <w:left w:val="none" w:sz="0" w:space="0" w:color="auto"/>
        <w:bottom w:val="none" w:sz="0" w:space="0" w:color="auto"/>
        <w:right w:val="none" w:sz="0" w:space="0" w:color="auto"/>
      </w:divBdr>
    </w:div>
    <w:div w:id="232008975">
      <w:marLeft w:val="0"/>
      <w:marRight w:val="0"/>
      <w:marTop w:val="0"/>
      <w:marBottom w:val="0"/>
      <w:divBdr>
        <w:top w:val="none" w:sz="0" w:space="0" w:color="auto"/>
        <w:left w:val="none" w:sz="0" w:space="0" w:color="auto"/>
        <w:bottom w:val="none" w:sz="0" w:space="0" w:color="auto"/>
        <w:right w:val="none" w:sz="0" w:space="0" w:color="auto"/>
      </w:divBdr>
    </w:div>
    <w:div w:id="232008976">
      <w:marLeft w:val="0"/>
      <w:marRight w:val="0"/>
      <w:marTop w:val="0"/>
      <w:marBottom w:val="0"/>
      <w:divBdr>
        <w:top w:val="none" w:sz="0" w:space="0" w:color="auto"/>
        <w:left w:val="none" w:sz="0" w:space="0" w:color="auto"/>
        <w:bottom w:val="none" w:sz="0" w:space="0" w:color="auto"/>
        <w:right w:val="none" w:sz="0" w:space="0" w:color="auto"/>
      </w:divBdr>
    </w:div>
    <w:div w:id="232008977">
      <w:marLeft w:val="0"/>
      <w:marRight w:val="0"/>
      <w:marTop w:val="0"/>
      <w:marBottom w:val="0"/>
      <w:divBdr>
        <w:top w:val="none" w:sz="0" w:space="0" w:color="auto"/>
        <w:left w:val="none" w:sz="0" w:space="0" w:color="auto"/>
        <w:bottom w:val="none" w:sz="0" w:space="0" w:color="auto"/>
        <w:right w:val="none" w:sz="0" w:space="0" w:color="auto"/>
      </w:divBdr>
    </w:div>
    <w:div w:id="232008978">
      <w:marLeft w:val="0"/>
      <w:marRight w:val="0"/>
      <w:marTop w:val="0"/>
      <w:marBottom w:val="0"/>
      <w:divBdr>
        <w:top w:val="none" w:sz="0" w:space="0" w:color="auto"/>
        <w:left w:val="none" w:sz="0" w:space="0" w:color="auto"/>
        <w:bottom w:val="none" w:sz="0" w:space="0" w:color="auto"/>
        <w:right w:val="none" w:sz="0" w:space="0" w:color="auto"/>
      </w:divBdr>
    </w:div>
    <w:div w:id="232008979">
      <w:marLeft w:val="0"/>
      <w:marRight w:val="0"/>
      <w:marTop w:val="0"/>
      <w:marBottom w:val="0"/>
      <w:divBdr>
        <w:top w:val="none" w:sz="0" w:space="0" w:color="auto"/>
        <w:left w:val="none" w:sz="0" w:space="0" w:color="auto"/>
        <w:bottom w:val="none" w:sz="0" w:space="0" w:color="auto"/>
        <w:right w:val="none" w:sz="0" w:space="0" w:color="auto"/>
      </w:divBdr>
    </w:div>
    <w:div w:id="232008980">
      <w:marLeft w:val="0"/>
      <w:marRight w:val="0"/>
      <w:marTop w:val="0"/>
      <w:marBottom w:val="0"/>
      <w:divBdr>
        <w:top w:val="none" w:sz="0" w:space="0" w:color="auto"/>
        <w:left w:val="none" w:sz="0" w:space="0" w:color="auto"/>
        <w:bottom w:val="none" w:sz="0" w:space="0" w:color="auto"/>
        <w:right w:val="none" w:sz="0" w:space="0" w:color="auto"/>
      </w:divBdr>
    </w:div>
    <w:div w:id="232008981">
      <w:marLeft w:val="0"/>
      <w:marRight w:val="0"/>
      <w:marTop w:val="0"/>
      <w:marBottom w:val="0"/>
      <w:divBdr>
        <w:top w:val="none" w:sz="0" w:space="0" w:color="auto"/>
        <w:left w:val="none" w:sz="0" w:space="0" w:color="auto"/>
        <w:bottom w:val="none" w:sz="0" w:space="0" w:color="auto"/>
        <w:right w:val="none" w:sz="0" w:space="0" w:color="auto"/>
      </w:divBdr>
    </w:div>
    <w:div w:id="232008982">
      <w:marLeft w:val="0"/>
      <w:marRight w:val="0"/>
      <w:marTop w:val="0"/>
      <w:marBottom w:val="0"/>
      <w:divBdr>
        <w:top w:val="none" w:sz="0" w:space="0" w:color="auto"/>
        <w:left w:val="none" w:sz="0" w:space="0" w:color="auto"/>
        <w:bottom w:val="none" w:sz="0" w:space="0" w:color="auto"/>
        <w:right w:val="none" w:sz="0" w:space="0" w:color="auto"/>
      </w:divBdr>
    </w:div>
    <w:div w:id="232008983">
      <w:marLeft w:val="0"/>
      <w:marRight w:val="0"/>
      <w:marTop w:val="0"/>
      <w:marBottom w:val="0"/>
      <w:divBdr>
        <w:top w:val="none" w:sz="0" w:space="0" w:color="auto"/>
        <w:left w:val="none" w:sz="0" w:space="0" w:color="auto"/>
        <w:bottom w:val="none" w:sz="0" w:space="0" w:color="auto"/>
        <w:right w:val="none" w:sz="0" w:space="0" w:color="auto"/>
      </w:divBdr>
    </w:div>
    <w:div w:id="232008984">
      <w:marLeft w:val="0"/>
      <w:marRight w:val="0"/>
      <w:marTop w:val="0"/>
      <w:marBottom w:val="0"/>
      <w:divBdr>
        <w:top w:val="none" w:sz="0" w:space="0" w:color="auto"/>
        <w:left w:val="none" w:sz="0" w:space="0" w:color="auto"/>
        <w:bottom w:val="none" w:sz="0" w:space="0" w:color="auto"/>
        <w:right w:val="none" w:sz="0" w:space="0" w:color="auto"/>
      </w:divBdr>
    </w:div>
    <w:div w:id="232008985">
      <w:marLeft w:val="0"/>
      <w:marRight w:val="0"/>
      <w:marTop w:val="0"/>
      <w:marBottom w:val="0"/>
      <w:divBdr>
        <w:top w:val="none" w:sz="0" w:space="0" w:color="auto"/>
        <w:left w:val="none" w:sz="0" w:space="0" w:color="auto"/>
        <w:bottom w:val="none" w:sz="0" w:space="0" w:color="auto"/>
        <w:right w:val="none" w:sz="0" w:space="0" w:color="auto"/>
      </w:divBdr>
    </w:div>
    <w:div w:id="232008986">
      <w:marLeft w:val="0"/>
      <w:marRight w:val="0"/>
      <w:marTop w:val="0"/>
      <w:marBottom w:val="0"/>
      <w:divBdr>
        <w:top w:val="none" w:sz="0" w:space="0" w:color="auto"/>
        <w:left w:val="none" w:sz="0" w:space="0" w:color="auto"/>
        <w:bottom w:val="none" w:sz="0" w:space="0" w:color="auto"/>
        <w:right w:val="none" w:sz="0" w:space="0" w:color="auto"/>
      </w:divBdr>
    </w:div>
    <w:div w:id="232008987">
      <w:marLeft w:val="0"/>
      <w:marRight w:val="0"/>
      <w:marTop w:val="0"/>
      <w:marBottom w:val="0"/>
      <w:divBdr>
        <w:top w:val="none" w:sz="0" w:space="0" w:color="auto"/>
        <w:left w:val="none" w:sz="0" w:space="0" w:color="auto"/>
        <w:bottom w:val="none" w:sz="0" w:space="0" w:color="auto"/>
        <w:right w:val="none" w:sz="0" w:space="0" w:color="auto"/>
      </w:divBdr>
    </w:div>
    <w:div w:id="232008988">
      <w:marLeft w:val="0"/>
      <w:marRight w:val="0"/>
      <w:marTop w:val="0"/>
      <w:marBottom w:val="0"/>
      <w:divBdr>
        <w:top w:val="none" w:sz="0" w:space="0" w:color="auto"/>
        <w:left w:val="none" w:sz="0" w:space="0" w:color="auto"/>
        <w:bottom w:val="none" w:sz="0" w:space="0" w:color="auto"/>
        <w:right w:val="none" w:sz="0" w:space="0" w:color="auto"/>
      </w:divBdr>
    </w:div>
    <w:div w:id="232008989">
      <w:marLeft w:val="0"/>
      <w:marRight w:val="0"/>
      <w:marTop w:val="0"/>
      <w:marBottom w:val="0"/>
      <w:divBdr>
        <w:top w:val="none" w:sz="0" w:space="0" w:color="auto"/>
        <w:left w:val="none" w:sz="0" w:space="0" w:color="auto"/>
        <w:bottom w:val="none" w:sz="0" w:space="0" w:color="auto"/>
        <w:right w:val="none" w:sz="0" w:space="0" w:color="auto"/>
      </w:divBdr>
    </w:div>
    <w:div w:id="232008990">
      <w:marLeft w:val="0"/>
      <w:marRight w:val="0"/>
      <w:marTop w:val="0"/>
      <w:marBottom w:val="0"/>
      <w:divBdr>
        <w:top w:val="none" w:sz="0" w:space="0" w:color="auto"/>
        <w:left w:val="none" w:sz="0" w:space="0" w:color="auto"/>
        <w:bottom w:val="none" w:sz="0" w:space="0" w:color="auto"/>
        <w:right w:val="none" w:sz="0" w:space="0" w:color="auto"/>
      </w:divBdr>
    </w:div>
    <w:div w:id="232008991">
      <w:marLeft w:val="0"/>
      <w:marRight w:val="0"/>
      <w:marTop w:val="0"/>
      <w:marBottom w:val="0"/>
      <w:divBdr>
        <w:top w:val="none" w:sz="0" w:space="0" w:color="auto"/>
        <w:left w:val="none" w:sz="0" w:space="0" w:color="auto"/>
        <w:bottom w:val="none" w:sz="0" w:space="0" w:color="auto"/>
        <w:right w:val="none" w:sz="0" w:space="0" w:color="auto"/>
      </w:divBdr>
    </w:div>
    <w:div w:id="232008992">
      <w:marLeft w:val="0"/>
      <w:marRight w:val="0"/>
      <w:marTop w:val="0"/>
      <w:marBottom w:val="0"/>
      <w:divBdr>
        <w:top w:val="none" w:sz="0" w:space="0" w:color="auto"/>
        <w:left w:val="none" w:sz="0" w:space="0" w:color="auto"/>
        <w:bottom w:val="none" w:sz="0" w:space="0" w:color="auto"/>
        <w:right w:val="none" w:sz="0" w:space="0" w:color="auto"/>
      </w:divBdr>
    </w:div>
    <w:div w:id="232008993">
      <w:marLeft w:val="0"/>
      <w:marRight w:val="0"/>
      <w:marTop w:val="0"/>
      <w:marBottom w:val="0"/>
      <w:divBdr>
        <w:top w:val="none" w:sz="0" w:space="0" w:color="auto"/>
        <w:left w:val="none" w:sz="0" w:space="0" w:color="auto"/>
        <w:bottom w:val="none" w:sz="0" w:space="0" w:color="auto"/>
        <w:right w:val="none" w:sz="0" w:space="0" w:color="auto"/>
      </w:divBdr>
    </w:div>
    <w:div w:id="232008994">
      <w:marLeft w:val="0"/>
      <w:marRight w:val="0"/>
      <w:marTop w:val="0"/>
      <w:marBottom w:val="0"/>
      <w:divBdr>
        <w:top w:val="none" w:sz="0" w:space="0" w:color="auto"/>
        <w:left w:val="none" w:sz="0" w:space="0" w:color="auto"/>
        <w:bottom w:val="none" w:sz="0" w:space="0" w:color="auto"/>
        <w:right w:val="none" w:sz="0" w:space="0" w:color="auto"/>
      </w:divBdr>
    </w:div>
    <w:div w:id="23200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FCDA1-2A2E-43C3-A771-AFAAC98FCA33}"/>
</file>

<file path=customXml/itemProps2.xml><?xml version="1.0" encoding="utf-8"?>
<ds:datastoreItem xmlns:ds="http://schemas.openxmlformats.org/officeDocument/2006/customXml" ds:itemID="{497B8863-FC10-4F07-A1AB-F6E3DB0B02AA}"/>
</file>

<file path=customXml/itemProps3.xml><?xml version="1.0" encoding="utf-8"?>
<ds:datastoreItem xmlns:ds="http://schemas.openxmlformats.org/officeDocument/2006/customXml" ds:itemID="{72109EEF-5B6E-4CE3-B944-F0CEBD4B34C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653</Words>
  <Characters>3726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2023-12-08T16:13:00Z</dcterms:created>
  <dcterms:modified xsi:type="dcterms:W3CDTF">2023-12-08T16:13:00Z</dcterms:modified>
</cp:coreProperties>
</file>